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60" w:rsidRPr="005836EC" w:rsidRDefault="007C0F60" w:rsidP="007C0F60">
      <w:pPr>
        <w:pStyle w:val="NormalnyWeb"/>
        <w:jc w:val="center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Plan  szkolenia</w:t>
      </w:r>
    </w:p>
    <w:p w:rsidR="007C0F60" w:rsidRPr="005836EC" w:rsidRDefault="007C0F60" w:rsidP="007C0F60">
      <w:pPr>
        <w:pStyle w:val="NormalnyWeb"/>
        <w:jc w:val="center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 xml:space="preserve">Zakopane, </w:t>
      </w:r>
      <w:r w:rsidR="00DE2850">
        <w:rPr>
          <w:rStyle w:val="Pogrubienie"/>
          <w:rFonts w:ascii="Times New Roman" w:hAnsi="Times New Roman" w:cs="Times New Roman"/>
        </w:rPr>
        <w:t>15</w:t>
      </w:r>
      <w:r w:rsidRPr="005836EC">
        <w:rPr>
          <w:rStyle w:val="Pogrubienie"/>
          <w:rFonts w:ascii="Times New Roman" w:hAnsi="Times New Roman" w:cs="Times New Roman"/>
        </w:rPr>
        <w:t xml:space="preserve"> maja- 1</w:t>
      </w:r>
      <w:r w:rsidR="00DE2850">
        <w:rPr>
          <w:rStyle w:val="Pogrubienie"/>
          <w:rFonts w:ascii="Times New Roman" w:hAnsi="Times New Roman" w:cs="Times New Roman"/>
        </w:rPr>
        <w:t>7</w:t>
      </w:r>
      <w:r w:rsidRPr="005836EC">
        <w:rPr>
          <w:rStyle w:val="Pogrubienie"/>
          <w:rFonts w:ascii="Times New Roman" w:hAnsi="Times New Roman" w:cs="Times New Roman"/>
        </w:rPr>
        <w:t xml:space="preserve"> </w:t>
      </w:r>
      <w:r w:rsidR="00DE2850">
        <w:rPr>
          <w:rStyle w:val="Pogrubienie"/>
          <w:rFonts w:ascii="Times New Roman" w:hAnsi="Times New Roman" w:cs="Times New Roman"/>
        </w:rPr>
        <w:t>maja</w:t>
      </w:r>
      <w:r w:rsidRPr="005836EC">
        <w:rPr>
          <w:rStyle w:val="Pogrubienie"/>
          <w:rFonts w:ascii="Times New Roman" w:hAnsi="Times New Roman" w:cs="Times New Roman"/>
        </w:rPr>
        <w:t xml:space="preserve"> 201</w:t>
      </w:r>
      <w:r w:rsidR="00DE2850">
        <w:rPr>
          <w:rStyle w:val="Pogrubienie"/>
          <w:rFonts w:ascii="Times New Roman" w:hAnsi="Times New Roman" w:cs="Times New Roman"/>
        </w:rPr>
        <w:t>5</w:t>
      </w:r>
      <w:r w:rsidRPr="005836EC">
        <w:rPr>
          <w:rStyle w:val="Pogrubienie"/>
          <w:rFonts w:ascii="Times New Roman" w:hAnsi="Times New Roman" w:cs="Times New Roman"/>
        </w:rPr>
        <w:t xml:space="preserve"> r.</w:t>
      </w:r>
    </w:p>
    <w:p w:rsidR="007C0F60" w:rsidRPr="005836EC" w:rsidRDefault="007C0F60" w:rsidP="007C0F60">
      <w:pPr>
        <w:pStyle w:val="NormalnyWeb"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  <w:u w:val="single"/>
        </w:rPr>
        <w:t>Piątek  15 maja 2015</w:t>
      </w:r>
      <w:r w:rsidRPr="005836EC">
        <w:rPr>
          <w:rStyle w:val="Pogrubienie"/>
          <w:rFonts w:ascii="Times New Roman" w:hAnsi="Times New Roman" w:cs="Times New Roman"/>
          <w:u w:val="single"/>
        </w:rPr>
        <w:t xml:space="preserve"> r.</w:t>
      </w:r>
    </w:p>
    <w:p w:rsidR="007C0F60" w:rsidRPr="005836EC" w:rsidRDefault="007C0F60" w:rsidP="007C0F60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 zakwaterowanie od godziny 10-tej</w:t>
      </w:r>
    </w:p>
    <w:p w:rsidR="007C0F60" w:rsidRDefault="007C0F60" w:rsidP="007C0F60">
      <w:pPr>
        <w:spacing w:line="360" w:lineRule="auto"/>
        <w:rPr>
          <w:b/>
          <w:bCs/>
        </w:rPr>
      </w:pPr>
      <w:r w:rsidRPr="005836EC">
        <w:rPr>
          <w:rStyle w:val="Pogrubienie"/>
        </w:rPr>
        <w:t> 11</w:t>
      </w:r>
      <w:r w:rsidRPr="005836EC">
        <w:rPr>
          <w:rStyle w:val="Pogrubienie"/>
          <w:vertAlign w:val="superscript"/>
        </w:rPr>
        <w:t>00</w:t>
      </w:r>
      <w:r w:rsidRPr="005836EC">
        <w:rPr>
          <w:rStyle w:val="Pogrubienie"/>
        </w:rPr>
        <w:t>-13</w:t>
      </w:r>
      <w:r w:rsidRPr="005836EC">
        <w:rPr>
          <w:rStyle w:val="Pogrubienie"/>
          <w:vertAlign w:val="superscript"/>
        </w:rPr>
        <w:t>00</w:t>
      </w:r>
      <w:r w:rsidRPr="005836EC">
        <w:rPr>
          <w:rStyle w:val="Pogrubienie"/>
        </w:rPr>
        <w:t>     wykład :</w:t>
      </w:r>
      <w:r w:rsidRPr="005836EC">
        <w:rPr>
          <w:b/>
          <w:bCs/>
        </w:rPr>
        <w:t xml:space="preserve"> </w:t>
      </w:r>
    </w:p>
    <w:p w:rsidR="007C0F60" w:rsidRDefault="007C0F60" w:rsidP="007C0F60">
      <w:pPr>
        <w:pStyle w:val="Akapitzlist"/>
        <w:numPr>
          <w:ilvl w:val="0"/>
          <w:numId w:val="4"/>
        </w:numPr>
        <w:spacing w:line="360" w:lineRule="auto"/>
      </w:pPr>
      <w:r w:rsidRPr="00E50A30">
        <w:t>Rozporządzenie nr 1215/2012 (tzw. Bruksela I bis; stan prawny 10.01.2015):</w:t>
      </w:r>
      <w:r w:rsidRPr="00E50A30">
        <w:br/>
        <w:t>- pojęcie sprawy cywilnej i handlowej w prawie UE i w orzecznictwie Trybunału Sprawiedliwości UE;</w:t>
      </w:r>
      <w:r w:rsidRPr="00E50A30">
        <w:br/>
        <w:t xml:space="preserve">- jurysdykcja sądowa (za szczególnym uwzględnieniem orzecznictwa Trybunału Sprawiedliwości UE odnoszącym się do zasad określania jurysdykcji w sprawach konsumenckich i w zakresie relacji rozporządzenia Bruksela I </w:t>
      </w:r>
      <w:proofErr w:type="spellStart"/>
      <w:r w:rsidRPr="00E50A30">
        <w:t>i</w:t>
      </w:r>
      <w:proofErr w:type="spellEnd"/>
      <w:r w:rsidRPr="00E50A30">
        <w:t xml:space="preserve"> Bruksela I bis do konwencji CMR - konwencja o międzynarodowym przewozie towarów);</w:t>
      </w:r>
      <w:r w:rsidRPr="00E50A30">
        <w:br/>
        <w:t>- uznawanie i wykonywanie orzeczeń według "starych" (rozporządzenie Bruksela I) i "nowych" (rozporządzenie Bruksela I bis) zasad, procedury i przesłanki odmowy uznania/stwierdzenia wykonalności;</w:t>
      </w:r>
      <w:r w:rsidRPr="00E50A30">
        <w:br/>
        <w:t>- zmiana k.p.c. związana z wejściem rozporządzenia nr 1215/2012 w życie (m.in. zniesienie klauzul wykonalności dla tytułów transgranicznych)</w:t>
      </w:r>
    </w:p>
    <w:p w:rsidR="007C0F60" w:rsidRPr="007C0F60" w:rsidRDefault="007C0F60" w:rsidP="007C0F60">
      <w:pPr>
        <w:pStyle w:val="Akapitzlist"/>
        <w:spacing w:line="360" w:lineRule="auto"/>
        <w:ind w:left="1080"/>
        <w:rPr>
          <w:b/>
          <w:bCs/>
        </w:rPr>
      </w:pPr>
      <w:r w:rsidRPr="00E50A30">
        <w:br/>
      </w:r>
      <w:r w:rsidRPr="007C0F60">
        <w:rPr>
          <w:b/>
          <w:bCs/>
        </w:rPr>
        <w:t>II.</w:t>
      </w:r>
      <w:r w:rsidRPr="007C0F60">
        <w:t xml:space="preserve"> </w:t>
      </w:r>
      <w:r w:rsidRPr="00E50A30">
        <w:t xml:space="preserve"> Europejski nakaz zapłaty - zagadnienia praktyczne:</w:t>
      </w:r>
      <w:r w:rsidRPr="00E50A30">
        <w:br/>
        <w:t>- pozew o wydanie europejskiego nakazu zapłaty, w tym zawartość pozwu, odpowiednie stosowanie art. 125 i n.    k.p.c.</w:t>
      </w:r>
      <w:r w:rsidRPr="00E50A30">
        <w:br/>
        <w:t>- roszczenie o odsetki ustawowe w świetle wyroku w sprawie C-215/11 Szyrocka;</w:t>
      </w:r>
      <w:r w:rsidRPr="00E50A30">
        <w:br/>
        <w:t>- sposób wypełnienia nakazu zapłaty;</w:t>
      </w:r>
      <w:r w:rsidRPr="00E50A30">
        <w:br/>
        <w:t>- sprzeciw od europejskiego nakazu zapłaty;</w:t>
      </w:r>
      <w:r w:rsidRPr="00E50A30">
        <w:br/>
        <w:t>- stwierdzenie wykonalności nakazu i egzekucja;</w:t>
      </w:r>
      <w:r w:rsidRPr="00E50A30">
        <w:br/>
      </w:r>
    </w:p>
    <w:p w:rsidR="007C0F60" w:rsidRPr="005836EC" w:rsidRDefault="007C0F60" w:rsidP="007C0F60">
      <w:pPr>
        <w:spacing w:line="360" w:lineRule="auto"/>
        <w:rPr>
          <w:rFonts w:eastAsia="Arial Unicode MS"/>
        </w:rPr>
      </w:pPr>
    </w:p>
    <w:p w:rsidR="007C0F60" w:rsidRPr="005836EC" w:rsidRDefault="007C0F60" w:rsidP="007C0F60">
      <w:pPr>
        <w:pStyle w:val="NormalnyWeb"/>
        <w:rPr>
          <w:rFonts w:ascii="Times New Roman" w:hAnsi="Times New Roman" w:cs="Times New Roman"/>
        </w:rPr>
      </w:pPr>
      <w:r w:rsidRPr="005836EC">
        <w:rPr>
          <w:rFonts w:ascii="Times New Roman" w:hAnsi="Times New Roman" w:cs="Times New Roman"/>
        </w:rPr>
        <w:t> </w:t>
      </w:r>
      <w:r w:rsidRPr="005836EC">
        <w:rPr>
          <w:rStyle w:val="Pogrubienie"/>
          <w:rFonts w:ascii="Times New Roman" w:hAnsi="Times New Roman" w:cs="Times New Roman"/>
        </w:rPr>
        <w:t>13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00</w:t>
      </w:r>
      <w:r w:rsidRPr="005836EC">
        <w:rPr>
          <w:rStyle w:val="Pogrubienie"/>
          <w:rFonts w:ascii="Times New Roman" w:hAnsi="Times New Roman" w:cs="Times New Roman"/>
        </w:rPr>
        <w:t>-15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00</w:t>
      </w:r>
      <w:r w:rsidRPr="005836EC">
        <w:rPr>
          <w:rStyle w:val="Pogrubienie"/>
          <w:rFonts w:ascii="Times New Roman" w:hAnsi="Times New Roman" w:cs="Times New Roman"/>
        </w:rPr>
        <w:t>     obiad</w:t>
      </w:r>
    </w:p>
    <w:p w:rsidR="007C0F60" w:rsidRPr="005836EC" w:rsidRDefault="007C0F60" w:rsidP="007C0F60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 15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00</w:t>
      </w:r>
      <w:r w:rsidRPr="005836EC">
        <w:rPr>
          <w:rStyle w:val="Pogrubienie"/>
          <w:rFonts w:ascii="Times New Roman" w:hAnsi="Times New Roman" w:cs="Times New Roman"/>
        </w:rPr>
        <w:t>-19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00</w:t>
      </w:r>
      <w:r w:rsidRPr="005836EC">
        <w:rPr>
          <w:rStyle w:val="Pogrubienie"/>
          <w:rFonts w:ascii="Times New Roman" w:hAnsi="Times New Roman" w:cs="Times New Roman"/>
        </w:rPr>
        <w:t xml:space="preserve">     </w:t>
      </w:r>
      <w:proofErr w:type="spellStart"/>
      <w:r w:rsidRPr="005836EC">
        <w:rPr>
          <w:rStyle w:val="Pogrubienie"/>
          <w:rFonts w:ascii="Times New Roman" w:hAnsi="Times New Roman" w:cs="Times New Roman"/>
        </w:rPr>
        <w:t>c.d.wykładu</w:t>
      </w:r>
      <w:proofErr w:type="spellEnd"/>
      <w:r w:rsidRPr="005836EC">
        <w:rPr>
          <w:rStyle w:val="Pogrubienie"/>
          <w:rFonts w:ascii="Times New Roman" w:hAnsi="Times New Roman" w:cs="Times New Roman"/>
        </w:rPr>
        <w:t xml:space="preserve">   </w:t>
      </w:r>
    </w:p>
    <w:p w:rsidR="007C0F60" w:rsidRPr="005836EC" w:rsidRDefault="007C0F60" w:rsidP="007C0F60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 przerwa  kawowa - 17-17.15</w:t>
      </w:r>
    </w:p>
    <w:p w:rsidR="007C0F60" w:rsidRDefault="007C0F60" w:rsidP="007C0F60">
      <w:pPr>
        <w:pStyle w:val="NormalnyWeb"/>
        <w:rPr>
          <w:rStyle w:val="Pogrubienie"/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 od 19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30</w:t>
      </w:r>
      <w:r w:rsidRPr="005836EC">
        <w:rPr>
          <w:rStyle w:val="Pogrubienie"/>
          <w:rFonts w:ascii="Times New Roman" w:hAnsi="Times New Roman" w:cs="Times New Roman"/>
        </w:rPr>
        <w:t xml:space="preserve">        kolacja </w:t>
      </w:r>
    </w:p>
    <w:p w:rsidR="007C0F60" w:rsidRPr="005836EC" w:rsidRDefault="007C0F60" w:rsidP="007C0F60">
      <w:pPr>
        <w:pStyle w:val="NormalnyWeb"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  <w:u w:val="single"/>
        </w:rPr>
        <w:lastRenderedPageBreak/>
        <w:t>Sobota  16 maja 2015</w:t>
      </w:r>
      <w:r w:rsidRPr="005836EC">
        <w:rPr>
          <w:rStyle w:val="Pogrubienie"/>
          <w:rFonts w:ascii="Times New Roman" w:hAnsi="Times New Roman" w:cs="Times New Roman"/>
          <w:u w:val="single"/>
        </w:rPr>
        <w:t xml:space="preserve"> r. </w:t>
      </w:r>
    </w:p>
    <w:p w:rsidR="002864B6" w:rsidRDefault="007C0F60" w:rsidP="007C0F60">
      <w:pPr>
        <w:rPr>
          <w:rStyle w:val="Pogrubienie"/>
          <w:rFonts w:eastAsia="Arial Unicode MS"/>
        </w:rPr>
      </w:pPr>
      <w:r w:rsidRPr="005836EC">
        <w:rPr>
          <w:rStyle w:val="Pogrubienie"/>
        </w:rPr>
        <w:t> 9</w:t>
      </w:r>
      <w:r w:rsidRPr="005836EC">
        <w:rPr>
          <w:rStyle w:val="Pogrubienie"/>
          <w:vertAlign w:val="superscript"/>
        </w:rPr>
        <w:t>00</w:t>
      </w:r>
      <w:r w:rsidRPr="005836EC">
        <w:rPr>
          <w:rStyle w:val="Pogrubienie"/>
        </w:rPr>
        <w:t>-13</w:t>
      </w:r>
      <w:r>
        <w:rPr>
          <w:rStyle w:val="Pogrubienie"/>
          <w:vertAlign w:val="superscript"/>
        </w:rPr>
        <w:t>00</w:t>
      </w:r>
      <w:r w:rsidRPr="005836EC">
        <w:rPr>
          <w:rStyle w:val="Pogrubienie"/>
        </w:rPr>
        <w:t xml:space="preserve">       wykład </w:t>
      </w:r>
      <w:r w:rsidRPr="005836EC">
        <w:rPr>
          <w:rStyle w:val="Pogrubienie"/>
          <w:rFonts w:eastAsia="Arial Unicode MS"/>
        </w:rPr>
        <w:t>:</w:t>
      </w:r>
    </w:p>
    <w:p w:rsidR="002864B6" w:rsidRDefault="002864B6" w:rsidP="007C0F60">
      <w:pPr>
        <w:rPr>
          <w:rStyle w:val="Pogrubienie"/>
          <w:rFonts w:eastAsia="Arial Unicode MS"/>
        </w:rPr>
      </w:pPr>
    </w:p>
    <w:p w:rsidR="002864B6" w:rsidRDefault="002864B6" w:rsidP="002864B6">
      <w:pPr>
        <w:pStyle w:val="Akapitzlist"/>
        <w:numPr>
          <w:ilvl w:val="0"/>
          <w:numId w:val="4"/>
        </w:numPr>
        <w:rPr>
          <w:rStyle w:val="Pogrubienie"/>
          <w:rFonts w:eastAsia="Arial Unicode MS"/>
        </w:rPr>
      </w:pPr>
      <w:r>
        <w:rPr>
          <w:rStyle w:val="Pogrubienie"/>
          <w:rFonts w:eastAsia="Arial Unicode MS"/>
        </w:rPr>
        <w:t>C.d. tematu: Europejski nakaz zapłaty</w:t>
      </w:r>
    </w:p>
    <w:p w:rsidR="002864B6" w:rsidRPr="002864B6" w:rsidRDefault="002864B6" w:rsidP="002864B6">
      <w:pPr>
        <w:pStyle w:val="Akapitzlist"/>
        <w:ind w:left="1080"/>
        <w:rPr>
          <w:rStyle w:val="Pogrubienie"/>
          <w:rFonts w:eastAsia="Arial Unicode MS"/>
        </w:rPr>
      </w:pPr>
    </w:p>
    <w:p w:rsidR="007C0F60" w:rsidRPr="00E50A30" w:rsidRDefault="002864B6" w:rsidP="007C0F60">
      <w:r>
        <w:rPr>
          <w:rStyle w:val="Pogrubienie"/>
          <w:rFonts w:eastAsia="Arial Unicode MS"/>
        </w:rPr>
        <w:t>III.</w:t>
      </w:r>
      <w:r w:rsidR="007C0F60" w:rsidRPr="005836EC">
        <w:rPr>
          <w:rFonts w:eastAsia="Arial Unicode MS"/>
          <w:b/>
        </w:rPr>
        <w:t xml:space="preserve"> </w:t>
      </w:r>
      <w:r w:rsidR="007C0F60" w:rsidRPr="002864B6">
        <w:rPr>
          <w:b/>
        </w:rPr>
        <w:t>Postępowanie w sprawie drobnych roszczeń:</w:t>
      </w:r>
      <w:r w:rsidR="007C0F60" w:rsidRPr="002864B6">
        <w:rPr>
          <w:b/>
        </w:rPr>
        <w:br/>
      </w:r>
      <w:r w:rsidR="007C0F60" w:rsidRPr="00E50A30">
        <w:t>- rodzaje spraw, do których ma zastosowanie ten rodzaj postępowania (sprawy pieniężne i niepieniężne, maksymalna wartość przedmiotu sporu, transgraniczny charakter sprawy);</w:t>
      </w:r>
      <w:r w:rsidR="007C0F60" w:rsidRPr="00E50A30">
        <w:br/>
        <w:t>- pozew w postępowaniu w sprawie drobnych roszczeń;</w:t>
      </w:r>
      <w:r w:rsidR="007C0F60" w:rsidRPr="00E50A30">
        <w:br/>
      </w:r>
      <w:bookmarkStart w:id="0" w:name="_GoBack"/>
      <w:r w:rsidR="007C0F60" w:rsidRPr="00E50A30">
        <w:t xml:space="preserve">- postępowanie (zasada pisemności, rozprawa, postępowanie dowodowe, opłaty i koszty, </w:t>
      </w:r>
      <w:bookmarkEnd w:id="0"/>
      <w:r w:rsidR="007C0F60" w:rsidRPr="00E50A30">
        <w:t>orzeczenie);</w:t>
      </w:r>
      <w:r w:rsidR="007C0F60" w:rsidRPr="00E50A30">
        <w:br/>
        <w:t>- wykonanie orzeczenia w sprawie drobnych roszczeń;</w:t>
      </w:r>
      <w:r w:rsidR="007C0F60" w:rsidRPr="00E50A30">
        <w:br/>
        <w:t>- planowane zmiany w tym postępowaniu</w:t>
      </w:r>
      <w:r w:rsidR="007C0F60" w:rsidRPr="00E50A30">
        <w:br/>
      </w:r>
    </w:p>
    <w:p w:rsidR="007C0F60" w:rsidRPr="00E50A30" w:rsidRDefault="002864B6" w:rsidP="007C0F60">
      <w:r>
        <w:br/>
      </w:r>
      <w:r w:rsidRPr="002864B6">
        <w:rPr>
          <w:b/>
        </w:rPr>
        <w:t>IV.</w:t>
      </w:r>
      <w:r w:rsidR="007C0F60" w:rsidRPr="002864B6">
        <w:rPr>
          <w:b/>
        </w:rPr>
        <w:t xml:space="preserve"> Egzekucja orzeczeń alimentacyjnych w UE:</w:t>
      </w:r>
      <w:r w:rsidR="007C0F60" w:rsidRPr="002864B6">
        <w:rPr>
          <w:b/>
        </w:rPr>
        <w:br/>
      </w:r>
      <w:r w:rsidR="007C0F60" w:rsidRPr="00E50A30">
        <w:t>- alimenty orzeczone jako roszczenie samodzielne (rozporządzenie nr 4/2009);</w:t>
      </w:r>
      <w:r w:rsidR="007C0F60" w:rsidRPr="00E50A30">
        <w:br/>
        <w:t>- alimenty orzeczone przy okazji rozwodu lub separacji (rozporządzenie nr 2201/2003);</w:t>
      </w:r>
      <w:r w:rsidR="007C0F60" w:rsidRPr="00E50A30">
        <w:br/>
        <w:t>- tryby stwierdzania wykonalności;</w:t>
      </w:r>
      <w:r w:rsidR="007C0F60" w:rsidRPr="00E50A30">
        <w:br/>
        <w:t>- egzekucja (dokumenty, organy, podstawowe zasady)</w:t>
      </w:r>
      <w:r w:rsidR="007C0F60" w:rsidRPr="00E50A30">
        <w:br/>
        <w:t> </w:t>
      </w:r>
    </w:p>
    <w:p w:rsidR="007C0F60" w:rsidRPr="005836EC" w:rsidRDefault="007C0F60" w:rsidP="007C0F60">
      <w:pPr>
        <w:rPr>
          <w:rStyle w:val="Pogrubienie"/>
          <w:rFonts w:eastAsia="Arial Unicode MS"/>
          <w:b w:val="0"/>
          <w:bCs w:val="0"/>
        </w:rPr>
      </w:pPr>
    </w:p>
    <w:p w:rsidR="007C0F60" w:rsidRPr="005836EC" w:rsidRDefault="007C0F60" w:rsidP="007C0F60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 przerwa kawowa  10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45</w:t>
      </w:r>
      <w:r w:rsidRPr="005836EC">
        <w:rPr>
          <w:rStyle w:val="Pogrubienie"/>
          <w:rFonts w:ascii="Times New Roman" w:hAnsi="Times New Roman" w:cs="Times New Roman"/>
        </w:rPr>
        <w:t>-11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00</w:t>
      </w:r>
    </w:p>
    <w:p w:rsidR="007C0F60" w:rsidRPr="005836EC" w:rsidRDefault="007C0F60" w:rsidP="007C0F60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 przerwa obiadowa 13</w:t>
      </w:r>
      <w:r>
        <w:rPr>
          <w:rStyle w:val="Pogrubienie"/>
          <w:rFonts w:ascii="Times New Roman" w:hAnsi="Times New Roman" w:cs="Times New Roman"/>
          <w:vertAlign w:val="superscript"/>
        </w:rPr>
        <w:t>00</w:t>
      </w:r>
      <w:r w:rsidRPr="005836EC">
        <w:rPr>
          <w:rStyle w:val="Pogrubienie"/>
          <w:rFonts w:ascii="Times New Roman" w:hAnsi="Times New Roman" w:cs="Times New Roman"/>
        </w:rPr>
        <w:t>-15</w:t>
      </w:r>
      <w:r>
        <w:rPr>
          <w:rStyle w:val="Pogrubienie"/>
          <w:rFonts w:ascii="Times New Roman" w:hAnsi="Times New Roman" w:cs="Times New Roman"/>
          <w:vertAlign w:val="superscript"/>
        </w:rPr>
        <w:t>00</w:t>
      </w:r>
    </w:p>
    <w:p w:rsidR="002864B6" w:rsidRDefault="007C0F60" w:rsidP="002864B6">
      <w:pPr>
        <w:rPr>
          <w:rStyle w:val="Pogrubienie"/>
        </w:rPr>
      </w:pPr>
      <w:r w:rsidRPr="005836EC">
        <w:rPr>
          <w:rStyle w:val="Pogrubienie"/>
        </w:rPr>
        <w:t> 15</w:t>
      </w:r>
      <w:r>
        <w:rPr>
          <w:rStyle w:val="Pogrubienie"/>
          <w:vertAlign w:val="superscript"/>
        </w:rPr>
        <w:t>00</w:t>
      </w:r>
      <w:r w:rsidR="002864B6">
        <w:rPr>
          <w:rStyle w:val="Pogrubienie"/>
        </w:rPr>
        <w:t>-17</w:t>
      </w:r>
      <w:r>
        <w:rPr>
          <w:rStyle w:val="Pogrubienie"/>
          <w:vertAlign w:val="superscript"/>
        </w:rPr>
        <w:t>00</w:t>
      </w:r>
      <w:r w:rsidRPr="005836EC">
        <w:rPr>
          <w:rStyle w:val="Pogrubienie"/>
        </w:rPr>
        <w:t xml:space="preserve">    c.d. wykładu</w:t>
      </w:r>
    </w:p>
    <w:p w:rsidR="002864B6" w:rsidRDefault="002864B6" w:rsidP="002864B6"/>
    <w:p w:rsidR="002864B6" w:rsidRPr="00E50A30" w:rsidRDefault="002864B6" w:rsidP="002864B6">
      <w:r w:rsidRPr="002864B6">
        <w:rPr>
          <w:b/>
        </w:rPr>
        <w:t>V. Doręczenia dokumentów sądowych i pozasądowych w UE:</w:t>
      </w:r>
      <w:r w:rsidRPr="002864B6">
        <w:rPr>
          <w:b/>
        </w:rPr>
        <w:br/>
      </w:r>
      <w:r w:rsidRPr="00E50A30">
        <w:t>- pojęcie dokumentu sądowego i pozasądowego;</w:t>
      </w:r>
    </w:p>
    <w:p w:rsidR="002864B6" w:rsidRPr="00E50A30" w:rsidRDefault="002864B6" w:rsidP="002864B6">
      <w:r w:rsidRPr="00E50A30">
        <w:t>- jaką metodę doręczenia wybrać i jak radzić sobie z doręczeniami przy wykorzystaniu "pomarańczowej zwrotki";</w:t>
      </w:r>
    </w:p>
    <w:p w:rsidR="002864B6" w:rsidRPr="00E50A30" w:rsidRDefault="002864B6" w:rsidP="002864B6">
      <w:r w:rsidRPr="00E50A30">
        <w:t>- określanie daty doręczenia według rozporządzenia nr 1393/2007 o doręczeniach;</w:t>
      </w:r>
    </w:p>
    <w:p w:rsidR="002864B6" w:rsidRPr="00E50A30" w:rsidRDefault="002864B6" w:rsidP="002864B6">
      <w:r w:rsidRPr="00E50A30">
        <w:t>- kiedy korzystać z pomocy organów centralnych i do czego są one zobowiązane;</w:t>
      </w:r>
    </w:p>
    <w:p w:rsidR="002864B6" w:rsidRDefault="007C0F60" w:rsidP="002864B6">
      <w:pPr>
        <w:pStyle w:val="NormalnyWeb"/>
        <w:rPr>
          <w:rStyle w:val="Pogrubienie"/>
          <w:rFonts w:ascii="Times New Roman" w:hAnsi="Times New Roman" w:cs="Times New Roman"/>
          <w:vertAlign w:val="superscript"/>
        </w:rPr>
      </w:pPr>
      <w:r w:rsidRPr="005836EC">
        <w:rPr>
          <w:rStyle w:val="Pogrubienie"/>
          <w:rFonts w:ascii="Times New Roman" w:hAnsi="Times New Roman" w:cs="Times New Roman"/>
        </w:rPr>
        <w:t> przerwa kawowa  17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00</w:t>
      </w:r>
      <w:r w:rsidRPr="005836EC">
        <w:rPr>
          <w:rStyle w:val="Pogrubienie"/>
          <w:rFonts w:ascii="Times New Roman" w:hAnsi="Times New Roman" w:cs="Times New Roman"/>
        </w:rPr>
        <w:t>-17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15</w:t>
      </w:r>
    </w:p>
    <w:p w:rsidR="002864B6" w:rsidRPr="002864B6" w:rsidRDefault="002864B6" w:rsidP="002864B6">
      <w:pPr>
        <w:pStyle w:val="NormalnyWe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  <w:vertAlign w:val="superscript"/>
        </w:rPr>
        <w:t xml:space="preserve">15 </w:t>
      </w:r>
      <w:r>
        <w:rPr>
          <w:rFonts w:ascii="Times New Roman" w:hAnsi="Times New Roman" w:cs="Times New Roman"/>
          <w:b/>
        </w:rPr>
        <w:t>-18</w:t>
      </w:r>
      <w:r>
        <w:rPr>
          <w:rFonts w:ascii="Times New Roman" w:hAnsi="Times New Roman" w:cs="Times New Roman"/>
          <w:b/>
          <w:vertAlign w:val="superscript"/>
        </w:rPr>
        <w:t xml:space="preserve">15 </w:t>
      </w:r>
      <w:r>
        <w:rPr>
          <w:rFonts w:ascii="Times New Roman" w:hAnsi="Times New Roman" w:cs="Times New Roman"/>
          <w:b/>
        </w:rPr>
        <w:t xml:space="preserve">Konsultacje </w:t>
      </w:r>
    </w:p>
    <w:p w:rsidR="007C0F60" w:rsidRPr="005836EC" w:rsidRDefault="007C0F60" w:rsidP="007C0F60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 19</w:t>
      </w:r>
      <w:r>
        <w:rPr>
          <w:rStyle w:val="Pogrubienie"/>
          <w:rFonts w:ascii="Times New Roman" w:hAnsi="Times New Roman" w:cs="Times New Roman"/>
          <w:vertAlign w:val="superscript"/>
        </w:rPr>
        <w:t>3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0</w:t>
      </w:r>
      <w:r w:rsidRPr="005836EC">
        <w:rPr>
          <w:rStyle w:val="Pogrubienie"/>
          <w:rFonts w:ascii="Times New Roman" w:hAnsi="Times New Roman" w:cs="Times New Roman"/>
        </w:rPr>
        <w:t xml:space="preserve">            Kolacja integracyjna </w:t>
      </w:r>
    </w:p>
    <w:p w:rsidR="007C0F60" w:rsidRPr="005836EC" w:rsidRDefault="007C0F60" w:rsidP="007C0F60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 </w:t>
      </w:r>
      <w:r w:rsidRPr="005836EC">
        <w:rPr>
          <w:rStyle w:val="Pogrubienie"/>
          <w:rFonts w:ascii="Times New Roman" w:hAnsi="Times New Roman" w:cs="Times New Roman"/>
          <w:color w:val="FF0000"/>
        </w:rPr>
        <w:t>Uwaga: uczestnicy, którzy wyjadą po zakończeniu wykładu ,  nie wezmą udziału w</w:t>
      </w:r>
      <w:r>
        <w:rPr>
          <w:rStyle w:val="Pogrubienie"/>
          <w:rFonts w:ascii="Times New Roman" w:hAnsi="Times New Roman" w:cs="Times New Roman"/>
          <w:color w:val="FF0000"/>
        </w:rPr>
        <w:t xml:space="preserve"> kolacji i nie będą nocować z 16/17 maja</w:t>
      </w:r>
      <w:r w:rsidRPr="005836EC">
        <w:rPr>
          <w:rStyle w:val="Pogrubienie"/>
          <w:rFonts w:ascii="Times New Roman" w:hAnsi="Times New Roman" w:cs="Times New Roman"/>
          <w:color w:val="FF0000"/>
        </w:rPr>
        <w:t xml:space="preserve"> br. są zobowiązani do pisemnego powiadom</w:t>
      </w:r>
      <w:r>
        <w:rPr>
          <w:rStyle w:val="Pogrubienie"/>
          <w:rFonts w:ascii="Times New Roman" w:hAnsi="Times New Roman" w:cs="Times New Roman"/>
          <w:color w:val="FF0000"/>
        </w:rPr>
        <w:t>ienia o tym do dnia  4 maja 2015</w:t>
      </w:r>
      <w:r w:rsidRPr="005836EC">
        <w:rPr>
          <w:rStyle w:val="Pogrubienie"/>
          <w:rFonts w:ascii="Times New Roman" w:hAnsi="Times New Roman" w:cs="Times New Roman"/>
          <w:color w:val="FF0000"/>
        </w:rPr>
        <w:t xml:space="preserve"> r. na adres e-mailowy: </w:t>
      </w:r>
      <w:hyperlink r:id="rId5" w:history="1">
        <w:r w:rsidRPr="005836EC">
          <w:rPr>
            <w:rStyle w:val="Hipercze"/>
            <w:rFonts w:ascii="Times New Roman" w:hAnsi="Times New Roman" w:cs="Times New Roman"/>
            <w:b/>
            <w:bCs/>
          </w:rPr>
          <w:t>szkolenia@oirp.krakow.pl</w:t>
        </w:r>
      </w:hyperlink>
      <w:r w:rsidRPr="005836EC">
        <w:rPr>
          <w:rStyle w:val="Pogrubienie"/>
          <w:rFonts w:ascii="Times New Roman" w:hAnsi="Times New Roman" w:cs="Times New Roman"/>
          <w:color w:val="FF0000"/>
        </w:rPr>
        <w:t xml:space="preserve"> pod rygorem dodatkowego obciążenia kosztami kolacji i noclegu. </w:t>
      </w:r>
    </w:p>
    <w:p w:rsidR="007C0F60" w:rsidRPr="005836EC" w:rsidRDefault="007C0F60" w:rsidP="007C0F60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  <w:u w:val="single"/>
        </w:rPr>
        <w:t>Niedziela 1</w:t>
      </w:r>
      <w:r>
        <w:rPr>
          <w:rStyle w:val="Pogrubienie"/>
          <w:rFonts w:ascii="Times New Roman" w:hAnsi="Times New Roman" w:cs="Times New Roman"/>
          <w:u w:val="single"/>
        </w:rPr>
        <w:t>7 maja  2015</w:t>
      </w:r>
      <w:r w:rsidRPr="005836EC">
        <w:rPr>
          <w:rStyle w:val="Pogrubienie"/>
          <w:rFonts w:ascii="Times New Roman" w:hAnsi="Times New Roman" w:cs="Times New Roman"/>
          <w:u w:val="single"/>
        </w:rPr>
        <w:t xml:space="preserve"> r.</w:t>
      </w:r>
    </w:p>
    <w:p w:rsidR="007C0F60" w:rsidRPr="005836EC" w:rsidRDefault="007C0F60" w:rsidP="007C0F60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lastRenderedPageBreak/>
        <w:t> 8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00</w:t>
      </w:r>
      <w:r w:rsidRPr="005836EC">
        <w:rPr>
          <w:rStyle w:val="Pogrubienie"/>
          <w:rFonts w:ascii="Times New Roman" w:hAnsi="Times New Roman" w:cs="Times New Roman"/>
        </w:rPr>
        <w:t>-9</w:t>
      </w:r>
      <w:r w:rsidRPr="005836EC">
        <w:rPr>
          <w:rStyle w:val="Pogrubienie"/>
          <w:rFonts w:ascii="Times New Roman" w:hAnsi="Times New Roman" w:cs="Times New Roman"/>
          <w:vertAlign w:val="superscript"/>
        </w:rPr>
        <w:t>30</w:t>
      </w:r>
      <w:r w:rsidRPr="005836EC">
        <w:rPr>
          <w:rStyle w:val="Pogrubienie"/>
          <w:rFonts w:ascii="Times New Roman" w:hAnsi="Times New Roman" w:cs="Times New Roman"/>
        </w:rPr>
        <w:t xml:space="preserve">        śniadanie</w:t>
      </w:r>
    </w:p>
    <w:p w:rsidR="007C0F60" w:rsidRPr="005836EC" w:rsidRDefault="007C0F60" w:rsidP="007C0F60">
      <w:pPr>
        <w:pStyle w:val="NormalnyWeb"/>
        <w:rPr>
          <w:rFonts w:ascii="Times New Roman" w:hAnsi="Times New Roman" w:cs="Times New Roman"/>
        </w:rPr>
      </w:pPr>
      <w:r w:rsidRPr="005836EC">
        <w:rPr>
          <w:rStyle w:val="Pogrubienie"/>
          <w:rFonts w:ascii="Times New Roman" w:hAnsi="Times New Roman" w:cs="Times New Roman"/>
        </w:rPr>
        <w:t> ZAKOŃCZENIE SZKOLENIA</w:t>
      </w:r>
    </w:p>
    <w:p w:rsidR="007C0F60" w:rsidRPr="005836EC" w:rsidRDefault="007C0F60" w:rsidP="007C0F60"/>
    <w:p w:rsidR="007C0F60" w:rsidRPr="005836EC" w:rsidRDefault="007C0F60" w:rsidP="007C0F60"/>
    <w:p w:rsidR="00C47385" w:rsidRDefault="00C47385"/>
    <w:sectPr w:rsidR="00C47385" w:rsidSect="00AB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0DB8"/>
    <w:multiLevelType w:val="hybridMultilevel"/>
    <w:tmpl w:val="E3781392"/>
    <w:lvl w:ilvl="0" w:tplc="9E98C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E1A65"/>
    <w:multiLevelType w:val="hybridMultilevel"/>
    <w:tmpl w:val="50D2DDBC"/>
    <w:lvl w:ilvl="0" w:tplc="CD68C7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04364"/>
    <w:multiLevelType w:val="hybridMultilevel"/>
    <w:tmpl w:val="10EECE52"/>
    <w:lvl w:ilvl="0" w:tplc="0C8A62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997180"/>
    <w:multiLevelType w:val="hybridMultilevel"/>
    <w:tmpl w:val="46569E88"/>
    <w:lvl w:ilvl="0" w:tplc="DEC0F4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F60"/>
    <w:rsid w:val="00121908"/>
    <w:rsid w:val="002864B6"/>
    <w:rsid w:val="004140DB"/>
    <w:rsid w:val="007C0F60"/>
    <w:rsid w:val="00AB0E63"/>
    <w:rsid w:val="00C47385"/>
    <w:rsid w:val="00DE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C0F6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7C0F60"/>
    <w:rPr>
      <w:b/>
      <w:bCs/>
    </w:rPr>
  </w:style>
  <w:style w:type="character" w:styleId="Hipercze">
    <w:name w:val="Hyperlink"/>
    <w:basedOn w:val="Domylnaczcionkaakapitu"/>
    <w:semiHidden/>
    <w:rsid w:val="007C0F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0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enia@oirp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Mac-Szponder</dc:creator>
  <cp:keywords/>
  <dc:description/>
  <cp:lastModifiedBy>jaro</cp:lastModifiedBy>
  <cp:revision>2</cp:revision>
  <dcterms:created xsi:type="dcterms:W3CDTF">2015-03-27T12:15:00Z</dcterms:created>
  <dcterms:modified xsi:type="dcterms:W3CDTF">2015-03-27T15:41:00Z</dcterms:modified>
</cp:coreProperties>
</file>